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Сведения об операторе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/>
            <w:r>
              <w:t>Наименование / ФИО</w:t>
            </w:r>
          </w:p>
        </w:tc>
        <w:tc>
          <w:tcPr>
            <w:tcW w:type="dxa" w:w="4320"/>
          </w:tcPr>
          <w:p>
            <w:r/>
            <w:r>
              <w:t>наименование или ФИО ИП</w:t>
            </w:r>
          </w:p>
        </w:tc>
      </w:tr>
      <w:tr>
        <w:tc>
          <w:tcPr>
            <w:tcW w:type="dxa" w:w="4320"/>
          </w:tcPr>
          <w:p>
            <w:r/>
            <w:r>
              <w:t>ИНН, ОГРН/ОГРНИП</w:t>
            </w:r>
          </w:p>
        </w:tc>
        <w:tc>
          <w:tcPr>
            <w:tcW w:type="dxa" w:w="4320"/>
          </w:tcPr>
          <w:p>
            <w:r/>
            <w:r>
              <w:t>ИНН</w:t>
            </w:r>
          </w:p>
        </w:tc>
      </w:tr>
      <w:tr>
        <w:tc>
          <w:tcPr>
            <w:tcW w:type="dxa" w:w="4320"/>
          </w:tcPr>
          <w:p>
            <w:r/>
            <w:r>
              <w:t>Адрес</w:t>
            </w:r>
          </w:p>
        </w:tc>
        <w:tc>
          <w:tcPr>
            <w:tcW w:type="dxa" w:w="4320"/>
          </w:tcPr>
          <w:p>
            <w:r/>
            <w:r>
              <w:t>юридический адрес / адрес регистрации ИП</w:t>
            </w:r>
          </w:p>
        </w:tc>
      </w:tr>
      <w:tr>
        <w:tc>
          <w:tcPr>
            <w:tcW w:type="dxa" w:w="4320"/>
          </w:tcPr>
          <w:p>
            <w:r/>
            <w:r>
              <w:t>Ответственный за организацию обработки ПДн</w:t>
            </w:r>
          </w:p>
        </w:tc>
        <w:tc>
          <w:tcPr>
            <w:tcW w:type="dxa" w:w="4320"/>
          </w:tcPr>
          <w:p>
            <w:r/>
            <w:r>
              <w:t>ФИО, должность, телефон, email</w:t>
            </w:r>
          </w:p>
        </w:tc>
      </w:tr>
      <w:tr>
        <w:tc>
          <w:tcPr>
            <w:tcW w:type="dxa" w:w="4320"/>
          </w:tcPr>
          <w:p>
            <w:r/>
            <w:r>
              <w:t>Дата начала обработки</w:t>
            </w:r>
          </w:p>
        </w:tc>
        <w:tc>
          <w:tcPr>
            <w:tcW w:type="dxa" w:w="4320"/>
          </w:tcPr>
          <w:p>
            <w:r/>
            <w:r>
              <w:t>дата подключения к SHOPERT</w:t>
            </w:r>
          </w:p>
        </w:tc>
      </w:tr>
      <w:tr>
        <w:tc>
          <w:tcPr>
            <w:tcW w:type="dxa" w:w="4320"/>
          </w:tcPr>
          <w:p>
            <w:r/>
            <w:r>
              <w:t>Срок или условие прекращения обработки</w:t>
            </w:r>
          </w:p>
        </w:tc>
        <w:tc>
          <w:tcPr>
            <w:tcW w:type="dxa" w:w="4320"/>
          </w:tcPr>
          <w:p>
            <w:r/>
            <w:r>
              <w:t>прекращение деятельности оператора или расторжение договора с платформой SHOPERT</w:t>
            </w:r>
          </w:p>
        </w:tc>
      </w:tr>
    </w:tbl>
    <w:p/>
    <w:p>
      <w:pPr>
        <w:pStyle w:val="Heading1"/>
      </w:pPr>
      <w:r>
        <w:t>Цель обработки: продажа товаров покупателям через платформу SHOPERT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/>
            <w:r>
              <w:t>Правовое основание</w:t>
            </w:r>
          </w:p>
        </w:tc>
        <w:tc>
          <w:tcPr>
            <w:tcW w:type="dxa" w:w="4320"/>
          </w:tcPr>
          <w:p>
            <w:r/>
            <w:r>
              <w:t>ст. 6 152-ФЗ; ГК РФ (гл. 30, розничная купля-продажа); Закон РФ от 07.02.1992 № 2300-1 «О защите прав потребителей»; договор с покупателем; согласие покупателя; Публичная оферта SHOPERT</w:t>
            </w:r>
          </w:p>
        </w:tc>
      </w:tr>
      <w:tr>
        <w:tc>
          <w:tcPr>
            <w:tcW w:type="dxa" w:w="4320"/>
          </w:tcPr>
          <w:p>
            <w:r/>
            <w:r>
              <w:t>Категории субъектов</w:t>
            </w:r>
          </w:p>
        </w:tc>
        <w:tc>
          <w:tcPr>
            <w:tcW w:type="dxa" w:w="4320"/>
          </w:tcPr>
          <w:p>
            <w:r/>
            <w:r>
              <w:t>покупатели – физические лица, подключившие магазин на платформе SHOPERT</w:t>
            </w:r>
          </w:p>
        </w:tc>
      </w:tr>
      <w:tr>
        <w:tc>
          <w:tcPr>
            <w:tcW w:type="dxa" w:w="4320"/>
          </w:tcPr>
          <w:p>
            <w:r/>
            <w:r>
              <w:t>Категории ПДн</w:t>
            </w:r>
          </w:p>
        </w:tc>
        <w:tc>
          <w:tcPr>
            <w:tcW w:type="dxa" w:w="4320"/>
          </w:tcPr>
          <w:p>
            <w:r/>
            <w:r>
              <w:t>иные: фамилия, имя, номер телефона, дата рождения, адрес доставки в составе заказа, сведения о заказах и оплате, сведения о бонусах, переписка с магазином, дата и источник подключения, сведения о согласии на рекламу</w:t>
            </w:r>
          </w:p>
        </w:tc>
      </w:tr>
      <w:tr>
        <w:tc>
          <w:tcPr>
            <w:tcW w:type="dxa" w:w="4320"/>
          </w:tcPr>
          <w:p>
            <w:r/>
            <w:r>
              <w:t>Специальные / биометрические ПДн</w:t>
            </w:r>
          </w:p>
        </w:tc>
        <w:tc>
          <w:tcPr>
            <w:tcW w:type="dxa" w:w="4320"/>
          </w:tcPr>
          <w:p>
            <w:r/>
            <w:r>
              <w:t>не обрабатываются</w:t>
            </w:r>
          </w:p>
        </w:tc>
      </w:tr>
      <w:tr>
        <w:tc>
          <w:tcPr>
            <w:tcW w:type="dxa" w:w="4320"/>
          </w:tcPr>
          <w:p>
            <w:r/>
            <w:r>
              <w:t>Перечень действий</w:t>
            </w:r>
          </w:p>
        </w:tc>
        <w:tc>
          <w:tcPr>
            <w:tcW w:type="dxa" w:w="4320"/>
          </w:tcPr>
          <w:p>
            <w:r/>
            <w:r>
              <w:t>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</w:t>
            </w:r>
          </w:p>
        </w:tc>
      </w:tr>
      <w:tr>
        <w:tc>
          <w:tcPr>
            <w:tcW w:type="dxa" w:w="4320"/>
          </w:tcPr>
          <w:p>
            <w:r/>
            <w:r>
              <w:t>Способы обработки</w:t>
            </w:r>
          </w:p>
        </w:tc>
        <w:tc>
          <w:tcPr>
            <w:tcW w:type="dxa" w:w="4320"/>
          </w:tcPr>
          <w:p>
            <w:r/>
            <w:r>
              <w:t>автоматизированная с передачей по сети Интернет; смешанная</w:t>
            </w:r>
          </w:p>
        </w:tc>
      </w:tr>
      <w:tr>
        <w:tc>
          <w:tcPr>
            <w:tcW w:type="dxa" w:w="4320"/>
          </w:tcPr>
          <w:p>
            <w:r/>
            <w:r>
              <w:t>Трансграничная передача</w:t>
            </w:r>
          </w:p>
        </w:tc>
        <w:tc>
          <w:tcPr>
            <w:tcW w:type="dxa" w:w="4320"/>
          </w:tcPr>
          <w:p>
            <w:r/>
            <w:r>
              <w:t xml:space="preserve">не осуществляется. [Если включён Telegram: осуществляется – Объединённые Арабские Эмираты, Telegram; подать отдельное уведомление о трансграничной передаче </w:t>
            </w:r>
            <w:r>
              <w:rPr>
                <w:rFonts w:ascii="Courier New" w:hAnsi="Courier New"/>
              </w:rPr>
              <w:t>[юрист]</w:t>
            </w:r>
            <w:r>
              <w:t>]</w:t>
            </w:r>
          </w:p>
        </w:tc>
      </w:tr>
      <w:tr>
        <w:tc>
          <w:tcPr>
            <w:tcW w:type="dxa" w:w="4320"/>
          </w:tcPr>
          <w:p>
            <w:r/>
            <w:r>
              <w:t>Местонахождение базы данных</w:t>
            </w:r>
          </w:p>
        </w:tc>
        <w:tc>
          <w:tcPr>
            <w:tcW w:type="dxa" w:w="4320"/>
          </w:tcPr>
          <w:p>
            <w:r/>
            <w:r>
              <w:t>Российская Федерация, [регион и город размещения серверов SHOPERT – уточнить у платформы]; платформа SHOPERT, хостинг hostfood</w:t>
            </w:r>
          </w:p>
        </w:tc>
      </w:tr>
    </w:tbl>
    <w:p/>
    <w:p>
      <w:pPr>
        <w:pStyle w:val="Heading1"/>
      </w:pPr>
      <w:r>
        <w:t>Цель обработки: программа лояльности (бонусы)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/>
            <w:r>
              <w:t>Правовое основание</w:t>
            </w:r>
          </w:p>
        </w:tc>
        <w:tc>
          <w:tcPr>
            <w:tcW w:type="dxa" w:w="4320"/>
          </w:tcPr>
          <w:p>
            <w:r/>
            <w:r>
              <w:t>согласие покупателя, выраженное подключением магазина; договор с покупателем</w:t>
            </w:r>
          </w:p>
        </w:tc>
      </w:tr>
      <w:tr>
        <w:tc>
          <w:tcPr>
            <w:tcW w:type="dxa" w:w="4320"/>
          </w:tcPr>
          <w:p>
            <w:r/>
            <w:r>
              <w:t>Категории субъектов</w:t>
            </w:r>
          </w:p>
        </w:tc>
        <w:tc>
          <w:tcPr>
            <w:tcW w:type="dxa" w:w="4320"/>
          </w:tcPr>
          <w:p>
            <w:r/>
            <w:r>
              <w:t>покупатели магазина</w:t>
            </w:r>
          </w:p>
        </w:tc>
      </w:tr>
      <w:tr>
        <w:tc>
          <w:tcPr>
            <w:tcW w:type="dxa" w:w="4320"/>
          </w:tcPr>
          <w:p>
            <w:r/>
            <w:r>
              <w:t>Категории ПДн</w:t>
            </w:r>
          </w:p>
        </w:tc>
        <w:tc>
          <w:tcPr>
            <w:tcW w:type="dxa" w:w="4320"/>
          </w:tcPr>
          <w:p>
            <w:r/>
            <w:r>
              <w:t>фамилия, имя, номер телефона, сведения о заказах и бонусах</w:t>
            </w:r>
          </w:p>
        </w:tc>
      </w:tr>
      <w:tr>
        <w:tc>
          <w:tcPr>
            <w:tcW w:type="dxa" w:w="4320"/>
          </w:tcPr>
          <w:p>
            <w:r/>
            <w:r>
              <w:t>Действия и способы</w:t>
            </w:r>
          </w:p>
        </w:tc>
        <w:tc>
          <w:tcPr>
            <w:tcW w:type="dxa" w:w="4320"/>
          </w:tcPr>
          <w:p>
            <w:r/>
            <w:r>
              <w:t>как в первой цели</w:t>
            </w:r>
          </w:p>
        </w:tc>
      </w:tr>
    </w:tbl>
    <w:p/>
    <w:p>
      <w:pPr>
        <w:pStyle w:val="Heading1"/>
      </w:pPr>
      <w:r>
        <w:t>Цель обработки: рекламные уведомления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/>
            <w:r>
              <w:t>Правовое основание</w:t>
            </w:r>
          </w:p>
        </w:tc>
        <w:tc>
          <w:tcPr>
            <w:tcW w:type="dxa" w:w="4320"/>
          </w:tcPr>
          <w:p>
            <w:r/>
            <w:r>
              <w:t>согласие покупателя на получение рекламы (ч. 1 ст. 18 38-ФЗ), зафиксированное платформой SHOPERT</w:t>
            </w:r>
          </w:p>
        </w:tc>
      </w:tr>
      <w:tr>
        <w:tc>
          <w:tcPr>
            <w:tcW w:type="dxa" w:w="4320"/>
          </w:tcPr>
          <w:p>
            <w:r/>
            <w:r>
              <w:t>Категории субъектов</w:t>
            </w:r>
          </w:p>
        </w:tc>
        <w:tc>
          <w:tcPr>
            <w:tcW w:type="dxa" w:w="4320"/>
          </w:tcPr>
          <w:p>
            <w:r/>
            <w:r>
              <w:t>покупатели магазина, давшие согласие</w:t>
            </w:r>
          </w:p>
        </w:tc>
      </w:tr>
      <w:tr>
        <w:tc>
          <w:tcPr>
            <w:tcW w:type="dxa" w:w="4320"/>
          </w:tcPr>
          <w:p>
            <w:r/>
            <w:r>
              <w:t>Категории ПДн</w:t>
            </w:r>
          </w:p>
        </w:tc>
        <w:tc>
          <w:tcPr>
            <w:tcW w:type="dxa" w:w="4320"/>
          </w:tcPr>
          <w:p>
            <w:r/>
            <w:r>
              <w:t>фамилия, имя, дата рождения, сведения о заказах</w:t>
            </w:r>
          </w:p>
        </w:tc>
      </w:tr>
      <w:tr>
        <w:tc>
          <w:tcPr>
            <w:tcW w:type="dxa" w:w="4320"/>
          </w:tcPr>
          <w:p>
            <w:r/>
            <w:r>
              <w:t>Действия и способы</w:t>
            </w:r>
          </w:p>
        </w:tc>
        <w:tc>
          <w:tcPr>
            <w:tcW w:type="dxa" w:w="4320"/>
          </w:tcPr>
          <w:p>
            <w:r/>
            <w:r>
              <w:t>как в первой цели</w:t>
            </w:r>
          </w:p>
        </w:tc>
      </w:tr>
    </w:tbl>
    <w:p/>
    <w:p>
      <w:pPr>
        <w:pStyle w:val="Heading1"/>
      </w:pPr>
      <w:r>
        <w:t>Меры по ст. 18.1 и 19 152-ФЗ</w:t>
      </w:r>
    </w:p>
    <w:p>
      <w:pPr>
        <w:pStyle w:val="ListBullet"/>
      </w:pPr>
      <w:r>
        <w:t>назначено ответственное лицо за организацию обработки ПДн;</w:t>
      </w:r>
    </w:p>
    <w:p>
      <w:pPr>
        <w:pStyle w:val="ListBullet"/>
      </w:pPr>
      <w:r>
        <w:t>утверждена и опубликована политика обработки ПДн: [ссылка];</w:t>
      </w:r>
    </w:p>
    <w:p>
      <w:pPr>
        <w:pStyle w:val="ListBullet"/>
      </w:pPr>
      <w:r>
        <w:t>доступ к данным покупателей ограничен сотрудниками, которым он нужен по работе;</w:t>
      </w:r>
    </w:p>
    <w:p>
      <w:pPr>
        <w:pStyle w:val="ListBullet"/>
      </w:pPr>
      <w:r>
        <w:t>данные хранятся на платформе SHOPERT с разграничением доступа между магазинами,</w:t>
      </w:r>
    </w:p>
    <w:p>
      <w:r>
        <w:t>передача по защищённому каналу (HTTPS), резервные копии в зашифрованном виде;</w:t>
      </w:r>
    </w:p>
    <w:p>
      <w:pPr>
        <w:pStyle w:val="ListBullet"/>
      </w:pPr>
      <w:r>
        <w:t>сотрудники ознакомлены с требованиями законодательства о ПДн;</w:t>
      </w:r>
    </w:p>
    <w:p>
      <w:pPr>
        <w:pStyle w:val="ListBullet"/>
      </w:pPr>
      <w:r>
        <w:t>средства криптографической защиты информации: не используются, кроме встроенного</w:t>
      </w:r>
    </w:p>
    <w:p>
      <w:r>
        <w:t>шифрования канала связи (TLS) [или: используются – укажите].</w:t>
      </w:r>
    </w:p>
    <w:p>
      <w:pPr>
        <w:pStyle w:val="Heading1"/>
      </w:pPr>
      <w:r>
        <w:t>Сведения об обеспечении безопасности</w:t>
      </w:r>
    </w:p>
    <w:p>
      <w:r>
        <w:t>Уровень защищённости ПДн в информационной системе: [4 – при отсутствии специальных и биометрических данных и менее 100 000 субъектов, уточните с юристом]. Угрозы 3-го типа.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